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D0D8" w14:textId="77777777" w:rsidR="008D53D8" w:rsidRDefault="008D53D8" w:rsidP="008D53D8">
      <w:pPr>
        <w:pStyle w:val="Title"/>
      </w:pPr>
    </w:p>
    <w:p w14:paraId="2C68DD5D" w14:textId="77777777" w:rsidR="008D53D8" w:rsidRDefault="008D53D8" w:rsidP="008D53D8">
      <w:pPr>
        <w:pStyle w:val="Title"/>
      </w:pPr>
    </w:p>
    <w:p w14:paraId="4E010C08" w14:textId="77777777" w:rsidR="00BD5A96" w:rsidRDefault="00BD5A96" w:rsidP="008D53D8">
      <w:pPr>
        <w:pStyle w:val="Title"/>
      </w:pPr>
    </w:p>
    <w:p w14:paraId="1937612E" w14:textId="77777777" w:rsidR="00BD5A96" w:rsidRDefault="00BD5A96" w:rsidP="008D53D8">
      <w:pPr>
        <w:pStyle w:val="Title"/>
      </w:pPr>
    </w:p>
    <w:p w14:paraId="7C97E61E" w14:textId="77777777" w:rsidR="00B36F77" w:rsidRDefault="00B36F77" w:rsidP="008D53D8">
      <w:pPr>
        <w:pStyle w:val="Title"/>
      </w:pPr>
    </w:p>
    <w:p w14:paraId="6A6406E1" w14:textId="0A9D96C1" w:rsidR="003113C1" w:rsidRPr="003113C1" w:rsidRDefault="0021600C" w:rsidP="003113C1">
      <w:pPr>
        <w:pStyle w:val="Title"/>
      </w:pPr>
      <w:r>
        <w:t>Allowing Email</w:t>
      </w:r>
      <w:r w:rsidR="00C46B4E">
        <w:t>s</w:t>
      </w:r>
      <w:r>
        <w:t xml:space="preserve"> from Midaxo+</w:t>
      </w:r>
    </w:p>
    <w:p w14:paraId="43A0B35D" w14:textId="77777777" w:rsidR="00C55000" w:rsidRDefault="003113C1" w:rsidP="001F021B">
      <w:pPr>
        <w:pStyle w:val="Paragraph"/>
      </w:pPr>
      <w:r>
        <w:t>Classification: Public</w:t>
      </w:r>
    </w:p>
    <w:p w14:paraId="070DCC48" w14:textId="77777777" w:rsidR="008D53D8" w:rsidRPr="001F021B" w:rsidRDefault="001F021B" w:rsidP="001F021B">
      <w:pPr>
        <w:pStyle w:val="Paragraph"/>
      </w:pPr>
      <w:r>
        <w:br w:type="page"/>
      </w:r>
    </w:p>
    <w:p w14:paraId="3762A34C" w14:textId="77777777" w:rsidR="00080AC6" w:rsidRDefault="003113C1" w:rsidP="00080AC6">
      <w:pPr>
        <w:pStyle w:val="H2"/>
      </w:pPr>
      <w:bookmarkStart w:id="0" w:name="_Toc522876473"/>
      <w:r>
        <w:lastRenderedPageBreak/>
        <w:t>About</w:t>
      </w:r>
    </w:p>
    <w:p w14:paraId="57D87838" w14:textId="5E911519" w:rsidR="0021600C" w:rsidRDefault="0021600C" w:rsidP="003113C1">
      <w:pPr>
        <w:pStyle w:val="Paragraph"/>
      </w:pPr>
      <w:r>
        <w:t xml:space="preserve">Midaxo+ sends out email messages to customers and accepts incoming email messages for importing the messages into the CRM </w:t>
      </w:r>
      <w:r w:rsidR="00C46B4E">
        <w:t>with</w:t>
      </w:r>
      <w:r>
        <w:t>in Midaxo+.</w:t>
      </w:r>
    </w:p>
    <w:p w14:paraId="551B35EC" w14:textId="7EE34FB9" w:rsidR="00C55000" w:rsidRPr="003113C1" w:rsidRDefault="0021600C" w:rsidP="003113C1">
      <w:pPr>
        <w:pStyle w:val="Paragraph"/>
      </w:pPr>
      <w:r>
        <w:t>To ensure smooth delivery of these email messages, Midaxo recommends customers to allow all email messages from the domains used by Midaxo+</w:t>
      </w:r>
      <w:r w:rsidR="00C46B4E">
        <w:t>.</w:t>
      </w:r>
      <w:r w:rsidR="00C55000" w:rsidRPr="00C55000">
        <w:rPr>
          <w:rFonts w:ascii="Roboto" w:hAnsi="Roboto"/>
        </w:rPr>
        <w:t xml:space="preserve"> </w:t>
      </w:r>
    </w:p>
    <w:bookmarkEnd w:id="0"/>
    <w:p w14:paraId="0FF070A2" w14:textId="53FED219" w:rsidR="00C55000" w:rsidRDefault="0021600C" w:rsidP="003113C1">
      <w:pPr>
        <w:pStyle w:val="H2"/>
      </w:pPr>
      <w:r>
        <w:t>Domains Used by Midaxo+</w:t>
      </w:r>
    </w:p>
    <w:p w14:paraId="3E2E31B1" w14:textId="651EA16D" w:rsidR="0021600C" w:rsidRDefault="0021600C" w:rsidP="003113C1">
      <w:pPr>
        <w:pStyle w:val="Paragraph"/>
      </w:pPr>
      <w:r>
        <w:t>The list of domains that are used by Midaxo+ for email is shown below. Please make sure you use the right Midaxo+ instance domain names.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248"/>
        <w:gridCol w:w="4819"/>
      </w:tblGrid>
      <w:tr w:rsidR="0021600C" w14:paraId="74E38F65" w14:textId="77777777" w:rsidTr="0021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C39182" w14:textId="761C54AB" w:rsidR="0021600C" w:rsidRDefault="0021600C" w:rsidP="003113C1">
            <w:pPr>
              <w:pStyle w:val="Paragraph"/>
            </w:pPr>
            <w:r>
              <w:t>Instance</w:t>
            </w:r>
          </w:p>
        </w:tc>
        <w:tc>
          <w:tcPr>
            <w:tcW w:w="4819" w:type="dxa"/>
          </w:tcPr>
          <w:p w14:paraId="4CB1ED63" w14:textId="7234BCBB" w:rsidR="0021600C" w:rsidRDefault="0021600C" w:rsidP="003113C1">
            <w:pPr>
              <w:pStyle w:val="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domains</w:t>
            </w:r>
          </w:p>
        </w:tc>
      </w:tr>
      <w:tr w:rsidR="0021600C" w14:paraId="3758E147" w14:textId="77777777" w:rsidTr="0021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90115F8" w14:textId="09CC3A11" w:rsidR="0021600C" w:rsidRDefault="0021600C" w:rsidP="003113C1">
            <w:pPr>
              <w:pStyle w:val="Paragraph"/>
            </w:pPr>
            <w:r>
              <w:t>Midaxo+ US (https://app-us.midaxo.com)</w:t>
            </w:r>
          </w:p>
        </w:tc>
        <w:tc>
          <w:tcPr>
            <w:tcW w:w="4819" w:type="dxa"/>
          </w:tcPr>
          <w:p w14:paraId="19B4A3BD" w14:textId="344C33A4" w:rsidR="0021600C" w:rsidRPr="0021600C" w:rsidRDefault="0021600C" w:rsidP="003113C1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21600C">
              <w:rPr>
                <w:rFonts w:ascii="Courier New" w:hAnsi="Courier New" w:cs="Courier New"/>
              </w:rPr>
              <w:t>app-us.midaxo.com</w:t>
            </w:r>
          </w:p>
        </w:tc>
      </w:tr>
      <w:tr w:rsidR="0021600C" w14:paraId="6758511D" w14:textId="77777777" w:rsidTr="0021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7C72906" w14:textId="6F019EE7" w:rsidR="0021600C" w:rsidRDefault="0021600C" w:rsidP="003113C1">
            <w:pPr>
              <w:pStyle w:val="Paragraph"/>
            </w:pPr>
            <w:r>
              <w:t>Midaxo+ EU (https://app-eu.midaxo.com)</w:t>
            </w:r>
          </w:p>
        </w:tc>
        <w:tc>
          <w:tcPr>
            <w:tcW w:w="4819" w:type="dxa"/>
          </w:tcPr>
          <w:p w14:paraId="5E7DA8EA" w14:textId="6BA442F6" w:rsidR="0021600C" w:rsidRPr="0021600C" w:rsidRDefault="0021600C" w:rsidP="003113C1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21600C">
              <w:rPr>
                <w:rFonts w:ascii="Courier New" w:hAnsi="Courier New" w:cs="Courier New"/>
              </w:rPr>
              <w:t>app-eu.midaxo.com</w:t>
            </w:r>
          </w:p>
        </w:tc>
      </w:tr>
    </w:tbl>
    <w:p w14:paraId="06C9C9AB" w14:textId="76A8A0D0" w:rsidR="003113C1" w:rsidRDefault="003113C1" w:rsidP="003113C1">
      <w:pPr>
        <w:pStyle w:val="Paragraph"/>
      </w:pPr>
      <w:r>
        <w:t xml:space="preserve"> </w:t>
      </w:r>
    </w:p>
    <w:p w14:paraId="064A4F89" w14:textId="5EFC883F" w:rsidR="00CD4810" w:rsidRDefault="0021600C" w:rsidP="00CD4810">
      <w:pPr>
        <w:pStyle w:val="H2"/>
        <w:rPr>
          <w:rFonts w:ascii="Times New Roman" w:hAnsi="Times New Roman"/>
        </w:rPr>
      </w:pPr>
      <w:r>
        <w:t>Documentation for Email Providers</w:t>
      </w:r>
      <w:r w:rsidR="00CD4810">
        <w:t xml:space="preserve"> </w:t>
      </w:r>
    </w:p>
    <w:p w14:paraId="6BD9E6E6" w14:textId="1C4C2EBC" w:rsidR="00CD4810" w:rsidRDefault="0021600C" w:rsidP="00CD4810">
      <w:pPr>
        <w:pStyle w:val="H4"/>
      </w:pPr>
      <w:r>
        <w:t>Office365</w:t>
      </w:r>
      <w:r w:rsidR="00CD4810">
        <w:t xml:space="preserve"> </w:t>
      </w:r>
    </w:p>
    <w:p w14:paraId="217C053C" w14:textId="68F13812" w:rsidR="00CD4810" w:rsidRDefault="003E66E4" w:rsidP="00CD4810">
      <w:pPr>
        <w:pStyle w:val="Paragraph"/>
      </w:pPr>
      <w:r>
        <w:t xml:space="preserve">Office365 allows customers to configure Midaxo+ domain as a safe sender. See </w:t>
      </w:r>
      <w:hyperlink r:id="rId8" w:history="1">
        <w:r w:rsidRPr="00F32A2D">
          <w:rPr>
            <w:rStyle w:val="Hyperlink"/>
          </w:rPr>
          <w:t>https://docs.microsoft.com/en-us/microsoft-365/security/office-365-security/create-safe-sender-lists-in-office-365?view=o365-worldwide</w:t>
        </w:r>
      </w:hyperlink>
      <w:r>
        <w:t xml:space="preserve"> for more information</w:t>
      </w:r>
    </w:p>
    <w:p w14:paraId="2DE1960E" w14:textId="0900F3E4" w:rsidR="00CD4810" w:rsidRDefault="003E66E4" w:rsidP="00CD4810">
      <w:pPr>
        <w:pStyle w:val="H4"/>
      </w:pPr>
      <w:r>
        <w:t>Google Workspace</w:t>
      </w:r>
      <w:r w:rsidR="00CD4810">
        <w:t xml:space="preserve"> </w:t>
      </w:r>
    </w:p>
    <w:p w14:paraId="04993425" w14:textId="6D7879F6" w:rsidR="003E66E4" w:rsidRDefault="006C2FDA" w:rsidP="003E66E4">
      <w:pPr>
        <w:pStyle w:val="Paragraph"/>
      </w:pPr>
      <w:r>
        <w:t xml:space="preserve">Google Workspace allows customers </w:t>
      </w:r>
      <w:r w:rsidR="00291783">
        <w:t xml:space="preserve">to </w:t>
      </w:r>
      <w:r>
        <w:t xml:space="preserve">configure Midaxo+ domain to be an approved sender. See </w:t>
      </w:r>
      <w:hyperlink r:id="rId9" w:history="1">
        <w:r w:rsidRPr="00F32A2D">
          <w:rPr>
            <w:rStyle w:val="Hyperlink"/>
          </w:rPr>
          <w:t>https://support.google.com/a/answer/2368132</w:t>
        </w:r>
      </w:hyperlink>
      <w:r>
        <w:t xml:space="preserve"> for more information.</w:t>
      </w:r>
    </w:p>
    <w:p w14:paraId="6E14706E" w14:textId="19660E68" w:rsidR="003E66E4" w:rsidRDefault="003E66E4" w:rsidP="003E66E4">
      <w:pPr>
        <w:pStyle w:val="H4"/>
      </w:pPr>
      <w:r>
        <w:t>Sophos</w:t>
      </w:r>
    </w:p>
    <w:p w14:paraId="7B436D1E" w14:textId="03BE9386" w:rsidR="006C2FDA" w:rsidRDefault="006C2FDA" w:rsidP="006C2FDA">
      <w:pPr>
        <w:pStyle w:val="Paragraph"/>
      </w:pPr>
      <w:r>
        <w:lastRenderedPageBreak/>
        <w:t xml:space="preserve">Sophos </w:t>
      </w:r>
      <w:r w:rsidR="00291783">
        <w:t xml:space="preserve">Email allows customers to configure Midaxo+ domain to the allow list. See </w:t>
      </w:r>
      <w:hyperlink r:id="rId10" w:history="1">
        <w:r w:rsidR="00291783" w:rsidRPr="00F32A2D">
          <w:rPr>
            <w:rStyle w:val="Hyperlink"/>
          </w:rPr>
          <w:t>https://docs.sophos.com/central/Customer/help/en-us/ManageYourProducts/Overview/GlobalSettings/EmailAllowBlock/index.html</w:t>
        </w:r>
      </w:hyperlink>
      <w:r w:rsidR="00291783">
        <w:t xml:space="preserve"> for more information.</w:t>
      </w:r>
    </w:p>
    <w:p w14:paraId="529D6BE9" w14:textId="77777777" w:rsidR="00291783" w:rsidRDefault="00291783" w:rsidP="00291783">
      <w:pPr>
        <w:pStyle w:val="H2"/>
      </w:pPr>
      <w:r>
        <w:t>Frequently Asked Questions</w:t>
      </w:r>
    </w:p>
    <w:p w14:paraId="22960103" w14:textId="77777777" w:rsidR="00291783" w:rsidRDefault="00291783" w:rsidP="00291783">
      <w:pPr>
        <w:pStyle w:val="H4"/>
      </w:pPr>
      <w:r>
        <w:t>Does Midaxo+ use SPF / DKIM / DMARC security features for email?</w:t>
      </w:r>
    </w:p>
    <w:p w14:paraId="77FCC134" w14:textId="1642E8A4" w:rsidR="00C55000" w:rsidRPr="00C55000" w:rsidRDefault="00291783" w:rsidP="00291783">
      <w:pPr>
        <w:pStyle w:val="Paragraph"/>
      </w:pPr>
      <w:r>
        <w:t>Yes, Midaxo+ uses the Sender Policy Framework (SPF), Domain Keys Identified Mail (DKIM) and Domain Message Authentication Reporting &amp; Conformance (DMARC) to provide additional assurance that the emails sent out are originating from the Midaxo+ service.</w:t>
      </w:r>
      <w:r w:rsidR="00733E15">
        <w:t xml:space="preserve"> </w:t>
      </w:r>
    </w:p>
    <w:sectPr w:rsidR="00C55000" w:rsidRPr="00C55000" w:rsidSect="002F1A2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5427" w14:textId="77777777" w:rsidR="005C6292" w:rsidRDefault="005C6292" w:rsidP="007248E4">
      <w:r>
        <w:separator/>
      </w:r>
    </w:p>
  </w:endnote>
  <w:endnote w:type="continuationSeparator" w:id="0">
    <w:p w14:paraId="517FED32" w14:textId="77777777" w:rsidR="005C6292" w:rsidRDefault="005C6292" w:rsidP="007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  <w:embedRegular r:id="rId1" w:subsetted="1" w:fontKey="{443186AE-C87C-9C40-9820-457E019BE76D}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21671E44-C9D1-C343-AEF0-6720761EF1CF}"/>
    <w:embedBold r:id="rId3" w:fontKey="{557E976A-FD7E-EF46-89EC-D11B13BD279C}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layfair Display Black">
    <w:panose1 w:val="00000A00000000000000"/>
    <w:charset w:val="4D"/>
    <w:family w:val="auto"/>
    <w:pitch w:val="variable"/>
    <w:sig w:usb0="20000207" w:usb1="00000000" w:usb2="00000000" w:usb3="00000000" w:csb0="00000197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  <w:embedBold r:id="rId4" w:fontKey="{97D3A220-EE26-5543-9554-A9CBE285F25E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  <w:embedRegular r:id="rId5" w:subsetted="1" w:fontKey="{5914EDFC-1878-C54F-B4B1-F22B36B4E3C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367F" w14:textId="77777777" w:rsidR="00ED4527" w:rsidRDefault="00ED45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56915" wp14:editId="4F7D413D">
              <wp:simplePos x="0" y="0"/>
              <wp:positionH relativeFrom="column">
                <wp:posOffset>-407784</wp:posOffset>
              </wp:positionH>
              <wp:positionV relativeFrom="paragraph">
                <wp:posOffset>-99695</wp:posOffset>
              </wp:positionV>
              <wp:extent cx="2198451" cy="28210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8451" cy="2821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CFFCE" w14:textId="77777777" w:rsidR="00ED4527" w:rsidRPr="00410DDE" w:rsidRDefault="00ED4527" w:rsidP="00352426">
                          <w:pPr>
                            <w:rPr>
                              <w:color w:val="778791"/>
                              <w:sz w:val="18"/>
                            </w:rPr>
                          </w:pPr>
                          <w:r w:rsidRPr="00410DDE">
                            <w:rPr>
                              <w:color w:val="778791"/>
                              <w:sz w:val="18"/>
                            </w:rPr>
                            <w:t>© Midaxo 20</w:t>
                          </w:r>
                          <w:r w:rsidR="00ED3647">
                            <w:rPr>
                              <w:color w:val="778791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A656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1pt;margin-top:-7.85pt;width:173.1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" filled="f" stroked="f" strokeweight=".5pt">
              <v:textbox>
                <w:txbxContent>
                  <w:p w14:paraId="497CFFCE" w14:textId="77777777" w:rsidR="00ED4527" w:rsidRPr="00410DDE" w:rsidRDefault="00ED4527" w:rsidP="00352426">
                    <w:pPr>
                      <w:rPr>
                        <w:color w:val="778791"/>
                        <w:sz w:val="18"/>
                      </w:rPr>
                    </w:pPr>
                    <w:r w:rsidRPr="00410DDE">
                      <w:rPr>
                        <w:color w:val="778791"/>
                        <w:sz w:val="18"/>
                      </w:rPr>
                      <w:t>© Midaxo 20</w:t>
                    </w:r>
                    <w:r w:rsidR="00ED3647">
                      <w:rPr>
                        <w:color w:val="778791"/>
                        <w:sz w:val="18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4F6C" w14:textId="77777777" w:rsidR="005C6292" w:rsidRDefault="005C6292" w:rsidP="007248E4">
      <w:r>
        <w:separator/>
      </w:r>
    </w:p>
  </w:footnote>
  <w:footnote w:type="continuationSeparator" w:id="0">
    <w:p w14:paraId="1520FCBA" w14:textId="77777777" w:rsidR="005C6292" w:rsidRDefault="005C6292" w:rsidP="0072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2B3B" w14:textId="77777777" w:rsidR="00ED4527" w:rsidRDefault="00ED4527" w:rsidP="008D53D8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71E84A98" wp14:editId="7782A79F">
          <wp:simplePos x="0" y="0"/>
          <wp:positionH relativeFrom="column">
            <wp:posOffset>-902970</wp:posOffset>
          </wp:positionH>
          <wp:positionV relativeFrom="paragraph">
            <wp:posOffset>-451344</wp:posOffset>
          </wp:positionV>
          <wp:extent cx="7750316" cy="10029870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doc-body-background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6" cy="100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66A" w14:textId="77777777" w:rsidR="00ED4527" w:rsidRDefault="00ED45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3CAF9C" wp14:editId="1A299D1C">
          <wp:simplePos x="0" y="0"/>
          <wp:positionH relativeFrom="column">
            <wp:posOffset>-913765</wp:posOffset>
          </wp:positionH>
          <wp:positionV relativeFrom="paragraph">
            <wp:posOffset>-456608</wp:posOffset>
          </wp:positionV>
          <wp:extent cx="7767263" cy="10051801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-doc-titl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3" cy="10051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2846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0D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F44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68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43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CCFE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9A04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9A6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E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517E7"/>
    <w:multiLevelType w:val="hybridMultilevel"/>
    <w:tmpl w:val="71FE9F18"/>
    <w:lvl w:ilvl="0" w:tplc="5B34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37D24"/>
    <w:multiLevelType w:val="hybridMultilevel"/>
    <w:tmpl w:val="20607E00"/>
    <w:lvl w:ilvl="0" w:tplc="5B34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84C9D"/>
    <w:multiLevelType w:val="hybridMultilevel"/>
    <w:tmpl w:val="F3FC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633"/>
    <w:multiLevelType w:val="hybridMultilevel"/>
    <w:tmpl w:val="0994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52E"/>
    <w:multiLevelType w:val="hybridMultilevel"/>
    <w:tmpl w:val="C6286BDC"/>
    <w:lvl w:ilvl="0" w:tplc="5B345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EDE"/>
    <w:multiLevelType w:val="hybridMultilevel"/>
    <w:tmpl w:val="F678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C4614"/>
    <w:multiLevelType w:val="hybridMultilevel"/>
    <w:tmpl w:val="7950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6FD9"/>
    <w:multiLevelType w:val="hybridMultilevel"/>
    <w:tmpl w:val="385E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A2483"/>
    <w:multiLevelType w:val="hybridMultilevel"/>
    <w:tmpl w:val="EC3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A53C9"/>
    <w:multiLevelType w:val="hybridMultilevel"/>
    <w:tmpl w:val="D0D4D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51C"/>
    <w:multiLevelType w:val="hybridMultilevel"/>
    <w:tmpl w:val="F49C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16A"/>
    <w:multiLevelType w:val="hybridMultilevel"/>
    <w:tmpl w:val="68A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90586"/>
    <w:multiLevelType w:val="hybridMultilevel"/>
    <w:tmpl w:val="0994BC20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538F5"/>
    <w:multiLevelType w:val="hybridMultilevel"/>
    <w:tmpl w:val="95F2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A627A"/>
    <w:multiLevelType w:val="hybridMultilevel"/>
    <w:tmpl w:val="52D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3"/>
  </w:num>
  <w:num w:numId="12">
    <w:abstractNumId w:val="21"/>
  </w:num>
  <w:num w:numId="13">
    <w:abstractNumId w:val="12"/>
  </w:num>
  <w:num w:numId="14">
    <w:abstractNumId w:val="14"/>
  </w:num>
  <w:num w:numId="15">
    <w:abstractNumId w:val="18"/>
  </w:num>
  <w:num w:numId="16">
    <w:abstractNumId w:val="17"/>
  </w:num>
  <w:num w:numId="17">
    <w:abstractNumId w:val="20"/>
  </w:num>
  <w:num w:numId="18">
    <w:abstractNumId w:val="22"/>
  </w:num>
  <w:num w:numId="19">
    <w:abstractNumId w:val="15"/>
  </w:num>
  <w:num w:numId="20">
    <w:abstractNumId w:val="19"/>
  </w:num>
  <w:num w:numId="21">
    <w:abstractNumId w:val="10"/>
  </w:num>
  <w:num w:numId="22">
    <w:abstractNumId w:val="11"/>
  </w:num>
  <w:num w:numId="23">
    <w:abstractNumId w:val="1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TrueTypeFonts/>
  <w:embedSystemFonts/>
  <w:saveSubsetFont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0C"/>
    <w:rsid w:val="00032C99"/>
    <w:rsid w:val="00060A6D"/>
    <w:rsid w:val="00072FAC"/>
    <w:rsid w:val="00080AC6"/>
    <w:rsid w:val="0010403F"/>
    <w:rsid w:val="00112328"/>
    <w:rsid w:val="00136498"/>
    <w:rsid w:val="001970F5"/>
    <w:rsid w:val="001B583D"/>
    <w:rsid w:val="001C48B2"/>
    <w:rsid w:val="001F021B"/>
    <w:rsid w:val="0021600C"/>
    <w:rsid w:val="00220929"/>
    <w:rsid w:val="00232BE3"/>
    <w:rsid w:val="00291783"/>
    <w:rsid w:val="002B0621"/>
    <w:rsid w:val="002F1A23"/>
    <w:rsid w:val="00306202"/>
    <w:rsid w:val="003113C1"/>
    <w:rsid w:val="00347671"/>
    <w:rsid w:val="00352426"/>
    <w:rsid w:val="003545DE"/>
    <w:rsid w:val="00381C54"/>
    <w:rsid w:val="003913FB"/>
    <w:rsid w:val="003E1389"/>
    <w:rsid w:val="003E66E4"/>
    <w:rsid w:val="003F019F"/>
    <w:rsid w:val="00401A53"/>
    <w:rsid w:val="00407DD2"/>
    <w:rsid w:val="00410DDE"/>
    <w:rsid w:val="00435E72"/>
    <w:rsid w:val="004718B2"/>
    <w:rsid w:val="004A5C43"/>
    <w:rsid w:val="004D6780"/>
    <w:rsid w:val="004E1234"/>
    <w:rsid w:val="00551871"/>
    <w:rsid w:val="00582D60"/>
    <w:rsid w:val="005B3BF5"/>
    <w:rsid w:val="005C6292"/>
    <w:rsid w:val="005D3408"/>
    <w:rsid w:val="00665F29"/>
    <w:rsid w:val="00695959"/>
    <w:rsid w:val="006C2FDA"/>
    <w:rsid w:val="00702D6C"/>
    <w:rsid w:val="007248E4"/>
    <w:rsid w:val="00732454"/>
    <w:rsid w:val="00733E15"/>
    <w:rsid w:val="00820D6D"/>
    <w:rsid w:val="00845EB8"/>
    <w:rsid w:val="008B7810"/>
    <w:rsid w:val="008D53D8"/>
    <w:rsid w:val="009B6233"/>
    <w:rsid w:val="009C7019"/>
    <w:rsid w:val="009D3EC1"/>
    <w:rsid w:val="00A31083"/>
    <w:rsid w:val="00AA2372"/>
    <w:rsid w:val="00B36F77"/>
    <w:rsid w:val="00B879B1"/>
    <w:rsid w:val="00BD5A96"/>
    <w:rsid w:val="00C46B4E"/>
    <w:rsid w:val="00C55000"/>
    <w:rsid w:val="00C913CC"/>
    <w:rsid w:val="00CD41B4"/>
    <w:rsid w:val="00CD4810"/>
    <w:rsid w:val="00CE3ACE"/>
    <w:rsid w:val="00CF778A"/>
    <w:rsid w:val="00D94BB6"/>
    <w:rsid w:val="00DD4C7C"/>
    <w:rsid w:val="00DD6A17"/>
    <w:rsid w:val="00DE14FF"/>
    <w:rsid w:val="00E03285"/>
    <w:rsid w:val="00E31E5E"/>
    <w:rsid w:val="00ED3647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895BA"/>
  <w14:defaultImageDpi w14:val="32767"/>
  <w15:chartTrackingRefBased/>
  <w15:docId w15:val="{6EC4896E-BABA-D542-A45E-655A46A4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E14FF"/>
    <w:rPr>
      <w:rFonts w:ascii="Roboto Light" w:hAnsi="Roboto Light"/>
    </w:rPr>
  </w:style>
  <w:style w:type="paragraph" w:styleId="Heading1">
    <w:name w:val="heading 1"/>
    <w:aliases w:val="H3"/>
    <w:basedOn w:val="Normal"/>
    <w:next w:val="Normal"/>
    <w:link w:val="Heading1Char"/>
    <w:uiPriority w:val="9"/>
    <w:qFormat/>
    <w:rsid w:val="002B0621"/>
    <w:pPr>
      <w:keepNext/>
      <w:keepLines/>
      <w:spacing w:before="60" w:after="240"/>
      <w:outlineLvl w:val="0"/>
    </w:pPr>
    <w:rPr>
      <w:rFonts w:ascii="Roboto Thin" w:eastAsiaTheme="majorEastAsia" w:hAnsi="Roboto Thin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D6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80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A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D3408"/>
    <w:pPr>
      <w:spacing w:after="360"/>
    </w:pPr>
    <w:rPr>
      <w:rFonts w:ascii="Trebuchet MS" w:hAnsi="Trebuchet MS"/>
      <w:color w:val="FF8F00"/>
      <w:sz w:val="56"/>
      <w:szCs w:val="56"/>
    </w:rPr>
  </w:style>
  <w:style w:type="paragraph" w:styleId="Title">
    <w:name w:val="Title"/>
    <w:aliases w:val="QA Title"/>
    <w:basedOn w:val="Normal"/>
    <w:next w:val="Normal"/>
    <w:link w:val="TitleChar"/>
    <w:uiPriority w:val="10"/>
    <w:qFormat/>
    <w:rsid w:val="00DD4C7C"/>
    <w:pPr>
      <w:spacing w:before="120"/>
      <w:contextualSpacing/>
    </w:pPr>
    <w:rPr>
      <w:rFonts w:ascii="Playfair Display Black" w:eastAsiaTheme="majorEastAsia" w:hAnsi="Playfair Display Black" w:cstheme="majorBidi"/>
      <w:b/>
      <w:color w:val="034D7C"/>
      <w:spacing w:val="-10"/>
      <w:kern w:val="28"/>
      <w:sz w:val="56"/>
      <w:szCs w:val="56"/>
    </w:rPr>
  </w:style>
  <w:style w:type="character" w:customStyle="1" w:styleId="TitleChar">
    <w:name w:val="Title Char"/>
    <w:aliases w:val="QA Title Char"/>
    <w:basedOn w:val="DefaultParagraphFont"/>
    <w:link w:val="Title"/>
    <w:uiPriority w:val="10"/>
    <w:rsid w:val="00DD4C7C"/>
    <w:rPr>
      <w:rFonts w:ascii="Playfair Display Black" w:eastAsiaTheme="majorEastAsia" w:hAnsi="Playfair Display Black" w:cstheme="majorBidi"/>
      <w:b/>
      <w:color w:val="034D7C"/>
      <w:spacing w:val="-10"/>
      <w:kern w:val="28"/>
      <w:sz w:val="56"/>
      <w:szCs w:val="56"/>
    </w:rPr>
  </w:style>
  <w:style w:type="character" w:customStyle="1" w:styleId="Heading1Char">
    <w:name w:val="Heading 1 Char"/>
    <w:aliases w:val="H3 Char"/>
    <w:basedOn w:val="DefaultParagraphFont"/>
    <w:link w:val="Heading1"/>
    <w:uiPriority w:val="9"/>
    <w:rsid w:val="002B0621"/>
    <w:rPr>
      <w:rFonts w:ascii="Roboto Thin" w:eastAsiaTheme="majorEastAsia" w:hAnsi="Roboto Thin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48E4"/>
    <w:pPr>
      <w:tabs>
        <w:tab w:val="center" w:pos="4680"/>
        <w:tab w:val="right" w:pos="9360"/>
      </w:tabs>
    </w:pPr>
  </w:style>
  <w:style w:type="paragraph" w:customStyle="1" w:styleId="TopHeader">
    <w:name w:val="Top Header"/>
    <w:basedOn w:val="Title"/>
    <w:next w:val="Points"/>
    <w:link w:val="TopHeaderChar"/>
    <w:qFormat/>
    <w:rsid w:val="007248E4"/>
    <w:pPr>
      <w:spacing w:after="240"/>
      <w:jc w:val="center"/>
    </w:pPr>
    <w:rPr>
      <w:rFonts w:ascii="Playfair Display" w:hAnsi="Playfair Display"/>
      <w:sz w:val="40"/>
    </w:rPr>
  </w:style>
  <w:style w:type="character" w:customStyle="1" w:styleId="TopHeaderChar">
    <w:name w:val="Top Header Char"/>
    <w:basedOn w:val="TitleChar"/>
    <w:link w:val="TopHeader"/>
    <w:rsid w:val="007248E4"/>
    <w:rPr>
      <w:rFonts w:ascii="Playfair Display" w:eastAsiaTheme="majorEastAsia" w:hAnsi="Playfair Display" w:cstheme="majorBidi"/>
      <w:b/>
      <w:color w:val="034D7C"/>
      <w:spacing w:val="-10"/>
      <w:kern w:val="28"/>
      <w:sz w:val="40"/>
      <w:szCs w:val="56"/>
    </w:rPr>
  </w:style>
  <w:style w:type="paragraph" w:customStyle="1" w:styleId="Points">
    <w:name w:val="Points"/>
    <w:basedOn w:val="Normal"/>
    <w:next w:val="PointsName"/>
    <w:qFormat/>
    <w:rsid w:val="00347671"/>
    <w:pPr>
      <w:spacing w:before="120" w:after="240"/>
      <w:jc w:val="center"/>
    </w:pPr>
    <w:rPr>
      <w:rFonts w:ascii="Roboto Medium" w:hAnsi="Roboto Medium"/>
      <w:color w:val="0078C8"/>
      <w:sz w:val="20"/>
    </w:rPr>
  </w:style>
  <w:style w:type="paragraph" w:customStyle="1" w:styleId="PointsName">
    <w:name w:val="Points Name"/>
    <w:basedOn w:val="Normal"/>
    <w:qFormat/>
    <w:rsid w:val="007248E4"/>
    <w:pPr>
      <w:jc w:val="center"/>
    </w:pPr>
    <w:rPr>
      <w:color w:val="FF8F00"/>
    </w:rPr>
  </w:style>
  <w:style w:type="character" w:customStyle="1" w:styleId="HeaderChar">
    <w:name w:val="Header Char"/>
    <w:basedOn w:val="DefaultParagraphFont"/>
    <w:link w:val="Header"/>
    <w:uiPriority w:val="99"/>
    <w:rsid w:val="007248E4"/>
    <w:rPr>
      <w:rFonts w:ascii="Roboto Light" w:hAnsi="Roboto Light"/>
    </w:rPr>
  </w:style>
  <w:style w:type="paragraph" w:styleId="Footer">
    <w:name w:val="footer"/>
    <w:basedOn w:val="Normal"/>
    <w:link w:val="FooterChar"/>
    <w:uiPriority w:val="99"/>
    <w:unhideWhenUsed/>
    <w:rsid w:val="00724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8E4"/>
    <w:rPr>
      <w:rFonts w:ascii="Roboto Light" w:hAnsi="Roboto Light"/>
    </w:rPr>
  </w:style>
  <w:style w:type="character" w:styleId="Hyperlink">
    <w:name w:val="Hyperlink"/>
    <w:basedOn w:val="DefaultParagraphFont"/>
    <w:uiPriority w:val="99"/>
    <w:unhideWhenUsed/>
    <w:rsid w:val="00032C99"/>
    <w:rPr>
      <w:color w:val="FF8F00"/>
      <w:u w:val="none"/>
    </w:rPr>
  </w:style>
  <w:style w:type="paragraph" w:customStyle="1" w:styleId="Paragraph">
    <w:name w:val="Paragraph"/>
    <w:basedOn w:val="Normal"/>
    <w:qFormat/>
    <w:rsid w:val="004718B2"/>
    <w:pPr>
      <w:spacing w:after="240" w:line="400" w:lineRule="exact"/>
    </w:pPr>
    <w:rPr>
      <w:color w:val="293942"/>
      <w:sz w:val="22"/>
      <w:lang w:val="en-GB"/>
    </w:rPr>
  </w:style>
  <w:style w:type="character" w:styleId="UnresolvedMention">
    <w:name w:val="Unresolved Mention"/>
    <w:basedOn w:val="DefaultParagraphFont"/>
    <w:uiPriority w:val="99"/>
    <w:rsid w:val="004D67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5C43"/>
    <w:rPr>
      <w:color w:val="EB71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7C"/>
    <w:rPr>
      <w:rFonts w:ascii="Times New Roman" w:hAnsi="Times New Roman" w:cs="Times New Roman"/>
      <w:sz w:val="18"/>
      <w:szCs w:val="18"/>
    </w:rPr>
  </w:style>
  <w:style w:type="paragraph" w:customStyle="1" w:styleId="H4">
    <w:name w:val="H4"/>
    <w:basedOn w:val="Title"/>
    <w:link w:val="H4Char"/>
    <w:qFormat/>
    <w:rsid w:val="00435E72"/>
    <w:pPr>
      <w:spacing w:after="120"/>
    </w:pPr>
    <w:rPr>
      <w:rFonts w:ascii="Playfair Display" w:hAnsi="Playfair Display"/>
      <w:color w:val="485862"/>
      <w:sz w:val="32"/>
    </w:rPr>
  </w:style>
  <w:style w:type="character" w:customStyle="1" w:styleId="H4Char">
    <w:name w:val="H4 Char"/>
    <w:basedOn w:val="TitleChar"/>
    <w:link w:val="H4"/>
    <w:rsid w:val="00435E72"/>
    <w:rPr>
      <w:rFonts w:ascii="Playfair Display" w:eastAsiaTheme="majorEastAsia" w:hAnsi="Playfair Display" w:cstheme="majorBidi"/>
      <w:b/>
      <w:color w:val="485862"/>
      <w:spacing w:val="-10"/>
      <w:kern w:val="28"/>
      <w:sz w:val="32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7C"/>
    <w:rPr>
      <w:rFonts w:ascii="Times New Roman" w:hAnsi="Times New Roman" w:cs="Times New Roman"/>
      <w:sz w:val="18"/>
      <w:szCs w:val="18"/>
    </w:rPr>
  </w:style>
  <w:style w:type="paragraph" w:customStyle="1" w:styleId="TopHeaderSubtitle">
    <w:name w:val="Top Header Subtitle"/>
    <w:basedOn w:val="Heading1"/>
    <w:rsid w:val="008D53D8"/>
    <w:pPr>
      <w:jc w:val="center"/>
    </w:pPr>
    <w:rPr>
      <w:sz w:val="36"/>
    </w:rPr>
  </w:style>
  <w:style w:type="paragraph" w:customStyle="1" w:styleId="SectionTitle">
    <w:name w:val="Section Title"/>
    <w:basedOn w:val="Title"/>
    <w:rsid w:val="00B36F77"/>
    <w:rPr>
      <w:sz w:val="48"/>
    </w:rPr>
  </w:style>
  <w:style w:type="paragraph" w:customStyle="1" w:styleId="H2">
    <w:name w:val="H2"/>
    <w:basedOn w:val="Title"/>
    <w:next w:val="Paragraph"/>
    <w:qFormat/>
    <w:rsid w:val="00435E72"/>
    <w:pPr>
      <w:spacing w:before="0" w:after="240"/>
    </w:pPr>
    <w:rPr>
      <w:sz w:val="44"/>
    </w:rPr>
  </w:style>
  <w:style w:type="paragraph" w:styleId="ListParagraph">
    <w:name w:val="List Paragraph"/>
    <w:basedOn w:val="Normal"/>
    <w:uiPriority w:val="34"/>
    <w:qFormat/>
    <w:rsid w:val="00347671"/>
    <w:pPr>
      <w:numPr>
        <w:numId w:val="18"/>
      </w:numPr>
      <w:spacing w:before="120" w:after="240" w:line="340" w:lineRule="exact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9B6233"/>
    <w:rPr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B623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B62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5">
    <w:name w:val="H5"/>
    <w:basedOn w:val="Heading1"/>
    <w:next w:val="Paragraph"/>
    <w:qFormat/>
    <w:rsid w:val="00732454"/>
    <w:pPr>
      <w:spacing w:before="120" w:after="180"/>
    </w:pPr>
    <w:rPr>
      <w:rFonts w:ascii="Roboto" w:hAnsi="Roboto"/>
      <w:color w:val="48586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AC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080AC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80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80AC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0AC6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311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4-Accent5">
    <w:name w:val="Grid Table 4 Accent 5"/>
    <w:basedOn w:val="TableNormal"/>
    <w:uiPriority w:val="49"/>
    <w:rsid w:val="0021600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microsoft-365/security/office-365-security/create-safe-sender-lists-in-office-365?view=o365-worldwi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sophos.com/central/Customer/help/en-us/ManageYourProducts/Overview/GlobalSettings/EmailAllowBloc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a/answer/2368132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ki.hanninen/Library/Group%20Containers/UBF8T346G9.Office/User%20Content.localized/Templates.localized/Midaxo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4AC92-B6DA-FB4C-BDF8-03E8E791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Midaxo 2021.dotx</Template>
  <TotalTime>4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Keene</cp:lastModifiedBy>
  <cp:revision>2</cp:revision>
  <cp:lastPrinted>2018-08-24T18:38:00Z</cp:lastPrinted>
  <dcterms:created xsi:type="dcterms:W3CDTF">2022-08-01T15:15:00Z</dcterms:created>
  <dcterms:modified xsi:type="dcterms:W3CDTF">2022-08-01T15:15:00Z</dcterms:modified>
</cp:coreProperties>
</file>